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CE3AF1" w14:textId="77777777" w:rsidR="00B858D4" w:rsidRDefault="00B858D4">
      <w:pPr>
        <w:pStyle w:val="normal0"/>
        <w:widowControl w:val="0"/>
      </w:pPr>
    </w:p>
    <w:tbl>
      <w:tblPr>
        <w:tblStyle w:val="a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B858D4" w14:paraId="002CF1F9" w14:textId="77777777" w:rsidTr="00A4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1C93" w14:textId="77777777" w:rsidR="00B858D4" w:rsidRDefault="00A41FC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Titre : </w:t>
            </w:r>
            <w:r>
              <w:rPr>
                <w:rFonts w:ascii="Comic Sans MS" w:eastAsia="Comic Sans MS" w:hAnsi="Comic Sans MS" w:cs="Comic Sans MS"/>
                <w:sz w:val="20"/>
              </w:rPr>
              <w:t>Créer un domino des livres</w:t>
            </w:r>
          </w:p>
        </w:tc>
      </w:tr>
    </w:tbl>
    <w:p w14:paraId="574B8445" w14:textId="77777777" w:rsidR="00B858D4" w:rsidRDefault="00B858D4">
      <w:pPr>
        <w:pStyle w:val="normal0"/>
        <w:widowControl w:val="0"/>
      </w:pPr>
    </w:p>
    <w:tbl>
      <w:tblPr>
        <w:tblStyle w:val="a0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B858D4" w14:paraId="2AFEF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285B" w14:textId="77777777" w:rsidR="00B858D4" w:rsidRDefault="00A41FC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Nom de l’auteure :   </w:t>
            </w:r>
            <w:r>
              <w:rPr>
                <w:rFonts w:ascii="Comic Sans MS" w:eastAsia="Comic Sans MS" w:hAnsi="Comic Sans MS" w:cs="Comic Sans MS"/>
                <w:sz w:val="20"/>
              </w:rPr>
              <w:t>Myriam Poirier</w:t>
            </w:r>
          </w:p>
        </w:tc>
      </w:tr>
    </w:tbl>
    <w:p w14:paraId="11A5BD2C" w14:textId="77777777" w:rsidR="00B858D4" w:rsidRDefault="00B858D4">
      <w:pPr>
        <w:pStyle w:val="normal0"/>
        <w:widowControl w:val="0"/>
      </w:pPr>
    </w:p>
    <w:tbl>
      <w:tblPr>
        <w:tblStyle w:val="a1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B858D4" w14:paraId="0BECA203" w14:textId="77777777" w:rsidTr="00A4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0878" w14:textId="77777777" w:rsidR="00B858D4" w:rsidRDefault="00A41FC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Niveau : </w:t>
            </w:r>
            <w:r>
              <w:rPr>
                <w:rFonts w:ascii="Comic Sans MS" w:eastAsia="Comic Sans MS" w:hAnsi="Comic Sans MS" w:cs="Comic Sans MS"/>
                <w:sz w:val="20"/>
              </w:rPr>
              <w:t>Premier cycle du primaire</w:t>
            </w:r>
          </w:p>
        </w:tc>
      </w:tr>
    </w:tbl>
    <w:p w14:paraId="10100C55" w14:textId="77777777" w:rsidR="00B858D4" w:rsidRDefault="00B858D4">
      <w:pPr>
        <w:pStyle w:val="normal0"/>
        <w:widowControl w:val="0"/>
      </w:pPr>
    </w:p>
    <w:tbl>
      <w:tblPr>
        <w:tblStyle w:val="a2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B858D4" w14:paraId="703EB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D80B" w14:textId="77777777" w:rsidR="00B858D4" w:rsidRDefault="00A41FC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Brève description de l’activité :</w:t>
            </w:r>
          </w:p>
          <w:p w14:paraId="252DFC8F" w14:textId="77777777" w:rsidR="00B858D4" w:rsidRDefault="00A41FC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À l’aide des couvertures des livres choisis par les élèves, ils doivent en faire le classement, selon leurs propres critères.</w:t>
            </w:r>
          </w:p>
        </w:tc>
      </w:tr>
    </w:tbl>
    <w:p w14:paraId="30E33103" w14:textId="77777777" w:rsidR="00B858D4" w:rsidRDefault="00B858D4">
      <w:pPr>
        <w:pStyle w:val="normal0"/>
        <w:widowControl w:val="0"/>
      </w:pPr>
    </w:p>
    <w:tbl>
      <w:tblPr>
        <w:tblStyle w:val="a3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B858D4" w14:paraId="258A0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FF8F" w14:textId="77777777" w:rsidR="00B858D4" w:rsidRDefault="00A41FC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Intention d’apprentissage à communiquer aux élèves :</w:t>
            </w:r>
          </w:p>
          <w:p w14:paraId="10E7BEA9" w14:textId="77777777" w:rsidR="00B858D4" w:rsidRDefault="00A41FC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Être capable d’identifier des éléments communs entre les livres.</w:t>
            </w:r>
          </w:p>
        </w:tc>
      </w:tr>
    </w:tbl>
    <w:p w14:paraId="3AF765E0" w14:textId="77777777" w:rsidR="00B858D4" w:rsidRDefault="00B858D4">
      <w:pPr>
        <w:pStyle w:val="normal0"/>
        <w:widowControl w:val="0"/>
      </w:pPr>
    </w:p>
    <w:tbl>
      <w:tblPr>
        <w:tblStyle w:val="a4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5532"/>
      </w:tblGrid>
      <w:tr w:rsidR="00B858D4" w14:paraId="2080BA1F" w14:textId="77777777" w:rsidTr="00A4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1A1E" w14:textId="77777777" w:rsidR="00B858D4" w:rsidRDefault="00A41FC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Compétence(s)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BF46" w14:textId="77777777" w:rsidR="00B858D4" w:rsidRDefault="00A41FC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Contenus d’apprentissage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br/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</w:rPr>
              <w:t>Connaissances et stratégies)</w:t>
            </w:r>
          </w:p>
        </w:tc>
      </w:tr>
      <w:tr w:rsidR="00B858D4" w14:paraId="7963DDDA" w14:textId="77777777" w:rsidTr="00A4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FB00" w14:textId="77777777" w:rsidR="00B858D4" w:rsidRDefault="00A41FCC">
            <w:pPr>
              <w:pStyle w:val="Titre2"/>
              <w:keepNext w:val="0"/>
              <w:keepLines w:val="0"/>
              <w:widowControl w:val="0"/>
              <w:spacing w:before="360" w:after="80" w:line="240" w:lineRule="auto"/>
              <w:contextualSpacing w:val="0"/>
            </w:pPr>
            <w:bookmarkStart w:id="0" w:name="h.1pgiyh9bb0af" w:colFirst="0" w:colLast="0"/>
            <w:bookmarkEnd w:id="0"/>
            <w:r>
              <w:rPr>
                <w:rFonts w:ascii="Comic Sans MS" w:eastAsia="Comic Sans MS" w:hAnsi="Comic Sans MS" w:cs="Comic Sans MS"/>
                <w:sz w:val="20"/>
              </w:rPr>
              <w:t>Ciblée</w:t>
            </w:r>
          </w:p>
          <w:p w14:paraId="5A59EA44" w14:textId="77777777" w:rsidR="00B858D4" w:rsidRDefault="00A41FCC">
            <w:pPr>
              <w:pStyle w:val="Titre2"/>
              <w:keepNext w:val="0"/>
              <w:keepLines w:val="0"/>
              <w:widowControl w:val="0"/>
              <w:spacing w:before="360" w:after="80" w:line="240" w:lineRule="auto"/>
              <w:contextualSpacing w:val="0"/>
            </w:pPr>
            <w:bookmarkStart w:id="1" w:name="h.p34fjn5a9p62" w:colFirst="0" w:colLast="0"/>
            <w:bookmarkEnd w:id="1"/>
            <w:r>
              <w:rPr>
                <w:rFonts w:ascii="Comic Sans MS" w:eastAsia="Comic Sans MS" w:hAnsi="Comic Sans MS" w:cs="Comic Sans MS"/>
                <w:b w:val="0"/>
                <w:sz w:val="20"/>
                <w:highlight w:val="white"/>
              </w:rPr>
              <w:t>Apprécier des œuvres littéraires</w:t>
            </w:r>
          </w:p>
          <w:p w14:paraId="467D268B" w14:textId="77777777" w:rsidR="00B858D4" w:rsidRDefault="00B858D4">
            <w:pPr>
              <w:pStyle w:val="normal0"/>
              <w:spacing w:line="240" w:lineRule="auto"/>
            </w:pPr>
          </w:p>
          <w:p w14:paraId="4A3C754B" w14:textId="77777777" w:rsidR="00B858D4" w:rsidRDefault="00A41FCC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Composante:</w:t>
            </w:r>
          </w:p>
          <w:p w14:paraId="0C6C8D13" w14:textId="77777777" w:rsidR="00B858D4" w:rsidRDefault="00A41FCC">
            <w:pPr>
              <w:pStyle w:val="normal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Explorer des œuvres variées en prenant appui sur ses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goûts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>, ses intérêts et ses connaissances</w:t>
            </w:r>
          </w:p>
          <w:p w14:paraId="3B6CC8AD" w14:textId="77777777" w:rsidR="00B858D4" w:rsidRDefault="00B858D4">
            <w:pPr>
              <w:pStyle w:val="normal0"/>
              <w:widowControl w:val="0"/>
              <w:spacing w:line="240" w:lineRule="auto"/>
            </w:pPr>
          </w:p>
          <w:p w14:paraId="575B6638" w14:textId="77777777" w:rsidR="00B858D4" w:rsidRDefault="00B858D4">
            <w:pPr>
              <w:pStyle w:val="normal0"/>
              <w:widowControl w:val="0"/>
              <w:spacing w:line="240" w:lineRule="auto"/>
            </w:pPr>
          </w:p>
          <w:p w14:paraId="686D5639" w14:textId="77777777" w:rsidR="00B858D4" w:rsidRDefault="00A41FC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Sollicitée</w:t>
            </w:r>
          </w:p>
          <w:p w14:paraId="4591A76B" w14:textId="77777777" w:rsidR="00B858D4" w:rsidRDefault="00B858D4">
            <w:pPr>
              <w:pStyle w:val="normal0"/>
              <w:widowControl w:val="0"/>
              <w:spacing w:line="240" w:lineRule="auto"/>
            </w:pPr>
          </w:p>
          <w:p w14:paraId="7FD07E1F" w14:textId="77777777" w:rsidR="00B858D4" w:rsidRDefault="00A41FC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Coopérer</w:t>
            </w:r>
          </w:p>
          <w:p w14:paraId="7C836BAF" w14:textId="77777777" w:rsidR="00B858D4" w:rsidRDefault="00B858D4">
            <w:pPr>
              <w:pStyle w:val="normal0"/>
              <w:widowControl w:val="0"/>
              <w:spacing w:line="240" w:lineRule="auto"/>
            </w:pPr>
          </w:p>
          <w:p w14:paraId="58C725AA" w14:textId="77777777" w:rsidR="00B858D4" w:rsidRDefault="00A41FC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Composante:</w:t>
            </w:r>
          </w:p>
          <w:p w14:paraId="6AFCC5CB" w14:textId="77777777" w:rsidR="00B858D4" w:rsidRDefault="00A41FC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Contribuer au travail collectif</w:t>
            </w:r>
          </w:p>
          <w:p w14:paraId="7E3CF12E" w14:textId="77777777" w:rsidR="00B858D4" w:rsidRPr="00A41FCC" w:rsidRDefault="00A41FCC" w:rsidP="00A41FC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Interagir avec ouverture d’esprit dans différents contextes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7C68" w14:textId="77777777" w:rsidR="00B858D4" w:rsidRDefault="00A41FCC" w:rsidP="00A41FCC">
            <w:pPr>
              <w:pStyle w:val="Titre3"/>
              <w:keepNext w:val="0"/>
              <w:keepLines w:val="0"/>
              <w:widowControl w:val="0"/>
              <w:spacing w:before="280" w:after="80" w:line="240" w:lineRule="auto"/>
              <w:contextualSpacing w:val="0"/>
            </w:pPr>
            <w:bookmarkStart w:id="2" w:name="h.u84kaafy9ych" w:colFirst="0" w:colLast="0"/>
            <w:bookmarkEnd w:id="2"/>
            <w:r>
              <w:rPr>
                <w:rFonts w:ascii="Comic Sans MS" w:eastAsia="Comic Sans MS" w:hAnsi="Comic Sans MS" w:cs="Comic Sans MS"/>
                <w:color w:val="000000"/>
                <w:sz w:val="20"/>
                <w:highlight w:val="white"/>
              </w:rPr>
              <w:t>Connaissances et stratégies:</w:t>
            </w:r>
          </w:p>
          <w:p w14:paraId="519A5DA6" w14:textId="77777777" w:rsidR="00B858D4" w:rsidRDefault="00A41FCC" w:rsidP="00A41FCC">
            <w:pPr>
              <w:pStyle w:val="normal0"/>
              <w:widowControl w:val="0"/>
              <w:numPr>
                <w:ilvl w:val="0"/>
                <w:numId w:val="8"/>
              </w:numPr>
              <w:spacing w:before="220" w:after="220"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>distinguer différentes sortes de livres (ex. : album, bande dessinée, dictionnaire)</w:t>
            </w:r>
          </w:p>
          <w:p w14:paraId="2A07882B" w14:textId="77777777" w:rsidR="00B858D4" w:rsidRDefault="00A41FCC" w:rsidP="00A41FCC">
            <w:pPr>
              <w:pStyle w:val="normal0"/>
              <w:widowControl w:val="0"/>
              <w:numPr>
                <w:ilvl w:val="0"/>
                <w:numId w:val="4"/>
              </w:numPr>
              <w:spacing w:before="220" w:after="220"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>identifier l’</w:t>
            </w:r>
            <w:r>
              <w:rPr>
                <w:rFonts w:ascii="Comic Sans MS" w:eastAsia="Comic Sans MS" w:hAnsi="Comic Sans MS" w:cs="Comic Sans MS"/>
                <w:i/>
                <w:color w:val="333333"/>
                <w:sz w:val="20"/>
                <w:highlight w:val="white"/>
              </w:rPr>
              <w:t>auteur</w:t>
            </w: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 xml:space="preserve"> et l’</w:t>
            </w:r>
            <w:r>
              <w:rPr>
                <w:rFonts w:ascii="Comic Sans MS" w:eastAsia="Comic Sans MS" w:hAnsi="Comic Sans MS" w:cs="Comic Sans MS"/>
                <w:i/>
                <w:color w:val="333333"/>
                <w:sz w:val="20"/>
                <w:highlight w:val="white"/>
              </w:rPr>
              <w:t xml:space="preserve">illustrateur, </w:t>
            </w: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 xml:space="preserve">ou </w:t>
            </w:r>
            <w:r>
              <w:rPr>
                <w:rFonts w:ascii="Comic Sans MS" w:eastAsia="Comic Sans MS" w:hAnsi="Comic Sans MS" w:cs="Comic Sans MS"/>
                <w:i/>
                <w:color w:val="333333"/>
                <w:sz w:val="20"/>
                <w:highlight w:val="white"/>
              </w:rPr>
              <w:t>l’auteur/illustrateur</w:t>
            </w: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 xml:space="preserve"> s’il y a lieu (ex. : album, bande dessinée)</w:t>
            </w:r>
          </w:p>
          <w:p w14:paraId="7DFFA273" w14:textId="77777777" w:rsidR="00B858D4" w:rsidRDefault="00A41FCC" w:rsidP="00A41FCC">
            <w:pPr>
              <w:pStyle w:val="normal0"/>
              <w:widowControl w:val="0"/>
              <w:numPr>
                <w:ilvl w:val="0"/>
                <w:numId w:val="4"/>
              </w:numPr>
              <w:spacing w:before="220" w:after="220"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 xml:space="preserve">relever les éléments de la </w:t>
            </w:r>
            <w:r>
              <w:rPr>
                <w:rFonts w:ascii="Comic Sans MS" w:eastAsia="Comic Sans MS" w:hAnsi="Comic Sans MS" w:cs="Comic Sans MS"/>
                <w:i/>
                <w:color w:val="333333"/>
                <w:sz w:val="20"/>
                <w:highlight w:val="white"/>
              </w:rPr>
              <w:t>page couverture</w:t>
            </w: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 xml:space="preserve"> (ex. : titre, auteur, illustrateur, maison d’édition, collection)</w:t>
            </w:r>
          </w:p>
          <w:p w14:paraId="530804E5" w14:textId="77777777" w:rsidR="00B858D4" w:rsidRDefault="00A41FCC" w:rsidP="00A41FCC">
            <w:pPr>
              <w:pStyle w:val="normal0"/>
              <w:widowControl w:val="0"/>
              <w:numPr>
                <w:ilvl w:val="0"/>
                <w:numId w:val="4"/>
              </w:numPr>
              <w:spacing w:before="220" w:after="220"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 xml:space="preserve">distinguer différents </w:t>
            </w:r>
            <w:r>
              <w:rPr>
                <w:rFonts w:ascii="Comic Sans MS" w:eastAsia="Comic Sans MS" w:hAnsi="Comic Sans MS" w:cs="Comic Sans MS"/>
                <w:i/>
                <w:color w:val="333333"/>
                <w:sz w:val="20"/>
                <w:highlight w:val="white"/>
              </w:rPr>
              <w:t>formats</w:t>
            </w: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 xml:space="preserve"> (ex. : album, livre, livre géant, livre de poche)</w:t>
            </w:r>
          </w:p>
          <w:p w14:paraId="75B0AD6A" w14:textId="77777777" w:rsidR="00B858D4" w:rsidRDefault="00A41FCC" w:rsidP="00A41FCC">
            <w:pPr>
              <w:pStyle w:val="normal0"/>
              <w:widowControl w:val="0"/>
              <w:numPr>
                <w:ilvl w:val="0"/>
                <w:numId w:val="4"/>
              </w:numPr>
              <w:spacing w:before="220" w:after="220"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>c</w:t>
            </w: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>onstater la diversité des formes (ex. : rectangulaire, carrée, accordéon)</w:t>
            </w:r>
          </w:p>
          <w:p w14:paraId="15F9AEC0" w14:textId="77777777" w:rsidR="00B858D4" w:rsidRDefault="00A41FCC" w:rsidP="00A41FCC">
            <w:pPr>
              <w:pStyle w:val="normal0"/>
              <w:widowControl w:val="0"/>
              <w:numPr>
                <w:ilvl w:val="0"/>
                <w:numId w:val="4"/>
              </w:numPr>
              <w:spacing w:before="220" w:after="220"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>comparer la page couverture et la quatrième de couverture de différents livres</w:t>
            </w:r>
          </w:p>
          <w:p w14:paraId="26B1BD50" w14:textId="77777777" w:rsidR="00B858D4" w:rsidRDefault="00A41FCC" w:rsidP="00A41FCC">
            <w:pPr>
              <w:pStyle w:val="normal0"/>
              <w:widowControl w:val="0"/>
              <w:numPr>
                <w:ilvl w:val="0"/>
                <w:numId w:val="4"/>
              </w:numPr>
              <w:spacing w:before="220" w:after="220"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>relier les œuvres entre elles (mise en réseaux)</w:t>
            </w:r>
          </w:p>
          <w:p w14:paraId="0BB87D6F" w14:textId="77777777" w:rsidR="00B858D4" w:rsidRDefault="00A41FCC" w:rsidP="00A41FCC">
            <w:pPr>
              <w:pStyle w:val="normal0"/>
              <w:widowControl w:val="0"/>
              <w:numPr>
                <w:ilvl w:val="0"/>
                <w:numId w:val="4"/>
              </w:numPr>
              <w:spacing w:before="220" w:after="220"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>regrouper les œuvres semblables (ex. : thème, auteur, i</w:t>
            </w: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>llustrateur, collection, genre)</w:t>
            </w:r>
          </w:p>
          <w:p w14:paraId="3FB0B6DC" w14:textId="77777777" w:rsidR="00B858D4" w:rsidRDefault="00A41FCC" w:rsidP="00A41FCC">
            <w:pPr>
              <w:pStyle w:val="normal0"/>
              <w:widowControl w:val="0"/>
              <w:numPr>
                <w:ilvl w:val="0"/>
                <w:numId w:val="4"/>
              </w:numPr>
              <w:spacing w:before="220" w:after="220"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>constater des ressemblances entre des œuvres</w:t>
            </w:r>
          </w:p>
        </w:tc>
      </w:tr>
    </w:tbl>
    <w:p w14:paraId="0742DC6D" w14:textId="77777777" w:rsidR="00B858D4" w:rsidRDefault="00B858D4">
      <w:pPr>
        <w:pStyle w:val="normal0"/>
      </w:pPr>
    </w:p>
    <w:p w14:paraId="2B0EE830" w14:textId="77777777" w:rsidR="00B858D4" w:rsidRDefault="00B858D4">
      <w:pPr>
        <w:pStyle w:val="normal0"/>
        <w:widowControl w:val="0"/>
      </w:pPr>
    </w:p>
    <w:tbl>
      <w:tblPr>
        <w:tblStyle w:val="a8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B858D4" w14:paraId="00A0E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41D1" w14:textId="77777777" w:rsidR="00B858D4" w:rsidRDefault="00A41FCC">
            <w:pPr>
              <w:pStyle w:val="normal0"/>
              <w:widowControl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Déroulement</w:t>
            </w:r>
          </w:p>
          <w:p w14:paraId="505FDA99" w14:textId="77777777" w:rsidR="00B858D4" w:rsidRDefault="00B858D4">
            <w:pPr>
              <w:pStyle w:val="normal0"/>
              <w:widowControl w:val="0"/>
            </w:pPr>
          </w:p>
          <w:p w14:paraId="0851FA2D" w14:textId="77777777" w:rsidR="00B858D4" w:rsidRDefault="00A41FC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Préparation</w:t>
            </w:r>
          </w:p>
          <w:p w14:paraId="4BF7349D" w14:textId="77777777" w:rsidR="00B858D4" w:rsidRDefault="00A41FC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Durant la phase de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préparation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à l’activité, l’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enseignant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:</w:t>
            </w:r>
          </w:p>
          <w:p w14:paraId="65AA4193" w14:textId="77777777" w:rsidR="00B858D4" w:rsidRDefault="00A41FCC">
            <w:pPr>
              <w:pStyle w:val="normal0"/>
              <w:widowControl w:val="0"/>
              <w:numPr>
                <w:ilvl w:val="0"/>
                <w:numId w:val="6"/>
              </w:numPr>
              <w:spacing w:before="220" w:after="220" w:line="352" w:lineRule="auto"/>
              <w:ind w:hanging="360"/>
              <w:contextualSpacing/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lit des albums jeunesse;</w:t>
            </w:r>
          </w:p>
          <w:p w14:paraId="4FA29CBD" w14:textId="77777777" w:rsidR="00B858D4" w:rsidRDefault="00A41FCC">
            <w:pPr>
              <w:pStyle w:val="normal0"/>
              <w:widowControl w:val="0"/>
              <w:numPr>
                <w:ilvl w:val="0"/>
                <w:numId w:val="6"/>
              </w:numPr>
              <w:spacing w:before="220" w:after="220" w:line="352" w:lineRule="auto"/>
              <w:ind w:hanging="360"/>
              <w:contextualSpacing/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incite les enfants à faire des comparaisons selon différents critères entre les livres déjà lus  (</w:t>
            </w:r>
            <w:r>
              <w:rPr>
                <w:rFonts w:ascii="Comic Sans MS" w:eastAsia="Comic Sans MS" w:hAnsi="Comic Sans MS" w:cs="Comic Sans MS"/>
                <w:color w:val="333333"/>
                <w:sz w:val="20"/>
                <w:highlight w:val="white"/>
              </w:rPr>
              <w:t>ex. : thème, auteur, illustrateur, collection, genre).</w:t>
            </w:r>
          </w:p>
          <w:p w14:paraId="2C63CD90" w14:textId="77777777" w:rsidR="00B858D4" w:rsidRDefault="00A41FC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Les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élèves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:</w:t>
            </w:r>
          </w:p>
          <w:p w14:paraId="0BD1CB0F" w14:textId="77777777" w:rsidR="00B858D4" w:rsidRDefault="00A41FCC">
            <w:pPr>
              <w:pStyle w:val="normal0"/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écoutent et posent des questions au besoin; </w:t>
            </w:r>
          </w:p>
          <w:p w14:paraId="0A67A557" w14:textId="77777777" w:rsidR="00B858D4" w:rsidRDefault="00A41FCC">
            <w:pPr>
              <w:pStyle w:val="normal0"/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s’impliquent dans le classement et dans la re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cherche des ressemblances et des différences entre les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oeuvres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>.</w:t>
            </w:r>
          </w:p>
          <w:p w14:paraId="453EB87F" w14:textId="77777777" w:rsidR="00B858D4" w:rsidRDefault="00B858D4">
            <w:pPr>
              <w:pStyle w:val="normal0"/>
              <w:widowControl w:val="0"/>
            </w:pPr>
          </w:p>
          <w:p w14:paraId="1238BB54" w14:textId="77777777" w:rsidR="00B858D4" w:rsidRDefault="00A41FC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Matériel requis pour la phase de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préparation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(liens, documents,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références…)</w:t>
            </w:r>
            <w:proofErr w:type="gramEnd"/>
          </w:p>
          <w:tbl>
            <w:tblPr>
              <w:tblStyle w:val="a5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826"/>
            </w:tblGrid>
            <w:tr w:rsidR="00B858D4" w14:paraId="6A25963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/>
              </w:trPr>
              <w:tc>
                <w:tcPr>
                  <w:tcW w:w="88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773B2B" w14:textId="77777777" w:rsidR="00B858D4" w:rsidRDefault="00A41FCC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Albums jeunesse</w:t>
                  </w:r>
                </w:p>
              </w:tc>
            </w:tr>
          </w:tbl>
          <w:p w14:paraId="3EFFD122" w14:textId="77777777" w:rsidR="00B858D4" w:rsidRDefault="00B858D4">
            <w:pPr>
              <w:pStyle w:val="normal0"/>
              <w:widowControl w:val="0"/>
            </w:pPr>
          </w:p>
          <w:p w14:paraId="7706DE70" w14:textId="77777777" w:rsidR="00B858D4" w:rsidRDefault="00A41FC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Réalisation</w:t>
            </w:r>
          </w:p>
          <w:p w14:paraId="5D906DC4" w14:textId="77777777" w:rsidR="00B858D4" w:rsidRDefault="00A41FC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Durant la phase de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réalisation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de l’activité, l’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enseignant</w:t>
            </w:r>
            <w:r>
              <w:rPr>
                <w:rFonts w:ascii="Comic Sans MS" w:eastAsia="Comic Sans MS" w:hAnsi="Comic Sans MS" w:cs="Comic Sans MS"/>
                <w:sz w:val="20"/>
              </w:rPr>
              <w:t> :</w:t>
            </w:r>
          </w:p>
          <w:p w14:paraId="08CFD472" w14:textId="77777777" w:rsidR="00B858D4" w:rsidRDefault="00A41FCC">
            <w:pPr>
              <w:pStyle w:val="normal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aide techniquement les élèves;</w:t>
            </w:r>
          </w:p>
          <w:p w14:paraId="2815BD88" w14:textId="77777777" w:rsidR="00B858D4" w:rsidRDefault="00A41FCC">
            <w:pPr>
              <w:pStyle w:val="normal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rappelle, verbalement ou par une affiche dans la classe, les critères de classement quand le besoin se fait sentir.</w:t>
            </w:r>
          </w:p>
          <w:p w14:paraId="6514D303" w14:textId="77777777" w:rsidR="00B858D4" w:rsidRDefault="00B858D4">
            <w:pPr>
              <w:pStyle w:val="normal0"/>
              <w:widowControl w:val="0"/>
            </w:pPr>
          </w:p>
          <w:p w14:paraId="6AEFF44D" w14:textId="77777777" w:rsidR="00B858D4" w:rsidRDefault="00A41FC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Les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enfants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:</w:t>
            </w:r>
          </w:p>
          <w:p w14:paraId="127C227D" w14:textId="77777777" w:rsidR="00B858D4" w:rsidRDefault="00A41FCC">
            <w:pPr>
              <w:pStyle w:val="normal0"/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sélectionnent un ou des livres qu’ils aiment;</w:t>
            </w:r>
          </w:p>
          <w:p w14:paraId="3F43DA45" w14:textId="77777777" w:rsidR="00B858D4" w:rsidRDefault="00A41FCC">
            <w:pPr>
              <w:pStyle w:val="normal0"/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photographient la page couverture;</w:t>
            </w:r>
          </w:p>
          <w:p w14:paraId="29196023" w14:textId="77777777" w:rsidR="00B858D4" w:rsidRDefault="00A41FCC">
            <w:pPr>
              <w:pStyle w:val="normal0"/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placent la ph</w:t>
            </w:r>
            <w:r>
              <w:rPr>
                <w:rFonts w:ascii="Comic Sans MS" w:eastAsia="Comic Sans MS" w:hAnsi="Comic Sans MS" w:cs="Comic Sans MS"/>
                <w:sz w:val="20"/>
              </w:rPr>
              <w:t>oto sur un fichier Notebook;</w:t>
            </w:r>
          </w:p>
          <w:p w14:paraId="4D89D4BD" w14:textId="77777777" w:rsidR="00B858D4" w:rsidRDefault="00A41FCC">
            <w:pPr>
              <w:pStyle w:val="normal0"/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procèdent de la même manière pour plusieurs albums.</w:t>
            </w:r>
          </w:p>
          <w:p w14:paraId="3BB32F13" w14:textId="77777777" w:rsidR="00B858D4" w:rsidRDefault="00B858D4">
            <w:pPr>
              <w:pStyle w:val="normal0"/>
              <w:widowControl w:val="0"/>
            </w:pPr>
          </w:p>
          <w:p w14:paraId="6421D2A1" w14:textId="77777777" w:rsidR="00B858D4" w:rsidRDefault="00A41FC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i/>
                <w:sz w:val="20"/>
              </w:rPr>
              <w:t>Quand toutes les photos sont déposées sur un fichier Notebook:</w:t>
            </w:r>
          </w:p>
          <w:p w14:paraId="009A4575" w14:textId="77777777" w:rsidR="00B858D4" w:rsidRDefault="00A41FCC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en dyades, les enfants classent les images des pages couvertures selon les critères que l’équipe aura </w:t>
            </w:r>
            <w:bookmarkStart w:id="3" w:name="_GoBack"/>
            <w:r>
              <w:rPr>
                <w:rFonts w:ascii="Comic Sans MS" w:eastAsia="Comic Sans MS" w:hAnsi="Comic Sans MS" w:cs="Comic Sans MS"/>
                <w:sz w:val="20"/>
              </w:rPr>
              <w:t>choisis</w:t>
            </w:r>
            <w:bookmarkEnd w:id="3"/>
            <w:r>
              <w:rPr>
                <w:rFonts w:ascii="Comic Sans MS" w:eastAsia="Comic Sans MS" w:hAnsi="Comic Sans MS" w:cs="Comic Sans MS"/>
                <w:sz w:val="20"/>
              </w:rPr>
              <w:t>;</w:t>
            </w:r>
          </w:p>
          <w:p w14:paraId="39673A40" w14:textId="77777777" w:rsidR="00B858D4" w:rsidRDefault="00A41FCC">
            <w:pPr>
              <w:pStyle w:val="normal0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</w:rPr>
              <w:t>nregistrent leur page avec le classement effectué.</w:t>
            </w:r>
          </w:p>
          <w:p w14:paraId="48326B30" w14:textId="77777777" w:rsidR="00B858D4" w:rsidRDefault="00B858D4">
            <w:pPr>
              <w:pStyle w:val="normal0"/>
              <w:widowControl w:val="0"/>
            </w:pPr>
          </w:p>
          <w:p w14:paraId="5146EFBF" w14:textId="77777777" w:rsidR="00B858D4" w:rsidRDefault="00A41FC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Matériel requis pour la phase de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réalisation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(liens, documents,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références…)</w:t>
            </w:r>
            <w:proofErr w:type="gramEnd"/>
          </w:p>
          <w:tbl>
            <w:tblPr>
              <w:tblStyle w:val="a6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826"/>
            </w:tblGrid>
            <w:tr w:rsidR="00B858D4" w14:paraId="21861BA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/>
              </w:trPr>
              <w:tc>
                <w:tcPr>
                  <w:tcW w:w="88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684E07" w14:textId="77777777" w:rsidR="00B858D4" w:rsidRDefault="00A41FCC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Albums jeunesse,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</w:rPr>
                    <w:t>caméra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sz w:val="20"/>
                    </w:rPr>
                    <w:t>,fichier</w:t>
                  </w:r>
                  <w:proofErr w:type="spellEnd"/>
                  <w:proofErr w:type="gramEnd"/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Notebook</w:t>
                  </w:r>
                </w:p>
              </w:tc>
            </w:tr>
          </w:tbl>
          <w:p w14:paraId="30DF25CA" w14:textId="77777777" w:rsidR="00B858D4" w:rsidRDefault="00A41FC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Intégration</w:t>
            </w:r>
          </w:p>
          <w:p w14:paraId="7BB98D99" w14:textId="77777777" w:rsidR="00B858D4" w:rsidRDefault="00A41FC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>Durant la phase d’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intégration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des apprentissages réalisés durant l’activité,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l’enseignant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et les 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enfants </w:t>
            </w:r>
            <w:r>
              <w:rPr>
                <w:rFonts w:ascii="Comic Sans MS" w:eastAsia="Comic Sans MS" w:hAnsi="Comic Sans MS" w:cs="Comic Sans MS"/>
                <w:sz w:val="20"/>
              </w:rPr>
              <w:t> :</w:t>
            </w:r>
            <w:proofErr w:type="gramEnd"/>
          </w:p>
          <w:p w14:paraId="187A10E8" w14:textId="77777777" w:rsidR="00B858D4" w:rsidRDefault="00B858D4">
            <w:pPr>
              <w:pStyle w:val="normal0"/>
              <w:widowControl w:val="0"/>
            </w:pPr>
          </w:p>
          <w:p w14:paraId="1DE76488" w14:textId="77777777" w:rsidR="00B858D4" w:rsidRDefault="00A41FCC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regardent le classement fait par l’équipe et cette dernière justifie ses choix;</w:t>
            </w:r>
          </w:p>
          <w:p w14:paraId="51087D7D" w14:textId="77777777" w:rsidR="00B858D4" w:rsidRDefault="00A41FCC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comparent les différents classements effectués et discutent des meilleurs choix de classement.</w:t>
            </w:r>
          </w:p>
          <w:p w14:paraId="4DC2F435" w14:textId="77777777" w:rsidR="00B858D4" w:rsidRDefault="00A41FC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</w:rPr>
              <w:t>atériel requis pour la phase d’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intégration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(liens, documents,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références…)</w:t>
            </w:r>
            <w:proofErr w:type="gramEnd"/>
          </w:p>
          <w:tbl>
            <w:tblPr>
              <w:tblStyle w:val="a7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826"/>
            </w:tblGrid>
            <w:tr w:rsidR="00B858D4" w14:paraId="1287FFC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/>
              </w:trPr>
              <w:tc>
                <w:tcPr>
                  <w:tcW w:w="88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1F8040" w14:textId="77777777" w:rsidR="00B858D4" w:rsidRDefault="00A41FCC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Fichier Notebook</w:t>
                  </w:r>
                </w:p>
              </w:tc>
            </w:tr>
          </w:tbl>
          <w:p w14:paraId="066C37AF" w14:textId="77777777" w:rsidR="00B858D4" w:rsidRDefault="00B858D4">
            <w:pPr>
              <w:pStyle w:val="normal0"/>
              <w:widowControl w:val="0"/>
            </w:pPr>
          </w:p>
        </w:tc>
      </w:tr>
    </w:tbl>
    <w:p w14:paraId="379150CB" w14:textId="77777777" w:rsidR="00B858D4" w:rsidRDefault="00B858D4">
      <w:pPr>
        <w:pStyle w:val="normal0"/>
        <w:widowControl w:val="0"/>
      </w:pP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B858D4" w14:paraId="6D12B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47CC" w14:textId="77777777" w:rsidR="00B858D4" w:rsidRDefault="00A41FC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Note :</w:t>
            </w:r>
          </w:p>
          <w:p w14:paraId="7D30506C" w14:textId="77777777" w:rsidR="00B858D4" w:rsidRDefault="00A41FC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Pour en savoir plus sur l’activité et voir une photo:</w:t>
            </w:r>
          </w:p>
          <w:p w14:paraId="418A2DFB" w14:textId="77777777" w:rsidR="00B858D4" w:rsidRDefault="00A41FCC">
            <w:pPr>
              <w:pStyle w:val="normal0"/>
              <w:widowControl w:val="0"/>
              <w:spacing w:line="240" w:lineRule="auto"/>
            </w:pP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20"/>
                </w:rPr>
                <w:t>http://lesptitsmotsdits.com/le-domino-litteraire-une-activite-a-decouvrir/</w:t>
              </w:r>
            </w:hyperlink>
          </w:p>
        </w:tc>
      </w:tr>
    </w:tbl>
    <w:p w14:paraId="02B56B08" w14:textId="77777777" w:rsidR="00B858D4" w:rsidRDefault="00B858D4">
      <w:pPr>
        <w:pStyle w:val="normal0"/>
        <w:widowControl w:val="0"/>
      </w:pPr>
    </w:p>
    <w:p w14:paraId="04D7CD7A" w14:textId="77777777" w:rsidR="00B858D4" w:rsidRDefault="00B858D4">
      <w:pPr>
        <w:pStyle w:val="normal0"/>
        <w:widowControl w:val="0"/>
      </w:pPr>
    </w:p>
    <w:sectPr w:rsidR="00B858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21F24" w14:textId="77777777" w:rsidR="00000000" w:rsidRDefault="00A41FCC">
      <w:pPr>
        <w:spacing w:line="240" w:lineRule="auto"/>
      </w:pPr>
      <w:r>
        <w:separator/>
      </w:r>
    </w:p>
  </w:endnote>
  <w:endnote w:type="continuationSeparator" w:id="0">
    <w:p w14:paraId="6A459329" w14:textId="77777777" w:rsidR="00000000" w:rsidRDefault="00A41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F975" w14:textId="77777777" w:rsidR="00B858D4" w:rsidRDefault="00A41FCC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>--------------------------------------------------------------------</w:t>
    </w:r>
  </w:p>
  <w:p w14:paraId="1809CFB4" w14:textId="77777777" w:rsidR="00B858D4" w:rsidRDefault="00A41FCC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 xml:space="preserve">Canevas de planification  /  </w:t>
    </w:r>
  </w:p>
  <w:p w14:paraId="4B71E9D5" w14:textId="77777777" w:rsidR="00B858D4" w:rsidRDefault="00A41FCC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>CAP sur le TNI, CSDHR-RÉCIT ÉDUCATION PRÉSCOLAIRE-UQAM/UQO, 2014-2015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2844E" w14:textId="77777777" w:rsidR="00000000" w:rsidRDefault="00A41FCC">
      <w:pPr>
        <w:spacing w:line="240" w:lineRule="auto"/>
      </w:pPr>
      <w:r>
        <w:separator/>
      </w:r>
    </w:p>
  </w:footnote>
  <w:footnote w:type="continuationSeparator" w:id="0">
    <w:p w14:paraId="300298B3" w14:textId="77777777" w:rsidR="00000000" w:rsidRDefault="00A41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1ACB" w14:textId="77777777" w:rsidR="00B858D4" w:rsidRDefault="00B858D4">
    <w:pPr>
      <w:pStyle w:val="normal0"/>
      <w:widowControl w:val="0"/>
      <w:jc w:val="center"/>
    </w:pPr>
  </w:p>
  <w:p w14:paraId="222FC06E" w14:textId="77777777" w:rsidR="00B858D4" w:rsidRDefault="00B858D4">
    <w:pPr>
      <w:pStyle w:val="normal0"/>
      <w:widowControl w:val="0"/>
      <w:jc w:val="center"/>
    </w:pPr>
  </w:p>
  <w:p w14:paraId="1CF5F7E8" w14:textId="77777777" w:rsidR="00B858D4" w:rsidRDefault="00A41FCC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>Planification d’une activité d’apprentissage collaborative réalisée avec le TNI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915"/>
    <w:multiLevelType w:val="multilevel"/>
    <w:tmpl w:val="7D2474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BC506C"/>
    <w:multiLevelType w:val="multilevel"/>
    <w:tmpl w:val="2A6257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CDD279B"/>
    <w:multiLevelType w:val="multilevel"/>
    <w:tmpl w:val="5B30B7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37A767B"/>
    <w:multiLevelType w:val="multilevel"/>
    <w:tmpl w:val="214A63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1315E7A"/>
    <w:multiLevelType w:val="multilevel"/>
    <w:tmpl w:val="7AAA4C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C725A"/>
    <w:multiLevelType w:val="multilevel"/>
    <w:tmpl w:val="8ECEDD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4BB563B"/>
    <w:multiLevelType w:val="multilevel"/>
    <w:tmpl w:val="C7CA3D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55B4219"/>
    <w:multiLevelType w:val="multilevel"/>
    <w:tmpl w:val="E1C618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58D4"/>
    <w:rsid w:val="00A41FCC"/>
    <w:rsid w:val="00B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B40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esptitsmotsdits.com/le-domino-litteraire-une-activite-a-decouvri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2874</Characters>
  <Application>Microsoft Macintosh Word</Application>
  <DocSecurity>0</DocSecurity>
  <Lines>23</Lines>
  <Paragraphs>6</Paragraphs>
  <ScaleCrop>false</ScaleCrop>
  <Company>UQAM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CRIFPEUQAM</cp:lastModifiedBy>
  <cp:revision>2</cp:revision>
  <dcterms:created xsi:type="dcterms:W3CDTF">2015-05-26T18:02:00Z</dcterms:created>
  <dcterms:modified xsi:type="dcterms:W3CDTF">2015-05-26T18:13:00Z</dcterms:modified>
</cp:coreProperties>
</file>